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83" w:lineRule="auto"/>
        <w:ind w:firstLine="0"/>
      </w:pPr>
      <w:r>
        <w:rPr>
          <w:rFonts w:ascii="Arial" w:hAnsi="Arial" w:eastAsia="Arial" w:cs="Arial"/>
          <w:b/>
          <w:color w:val="0B2545"/>
          <w:sz w:val="36"/>
        </w:rPr>
        <w:t>ПОЛОЖЕНИЕ</w:t>
      </w:r>
    </w:p>
    <w:p>
      <w:pPr>
        <w:spacing w:line="283" w:lineRule="auto"/>
        <w:ind w:firstLine="0"/>
        <w:jc w:val="center"/>
      </w:pPr>
      <w:r>
        <w:rPr>
          <w:rFonts w:ascii="Arial" w:hAnsi="Arial" w:eastAsia="Arial" w:cs="Arial"/>
          <w:b/>
          <w:sz w:val="28"/>
        </w:rPr>
        <w:t>Открытого турнира по армрестлингу</w:t>
        <w:br/>
        <w:t>ко Дню города Алматы</w:t>
      </w:r>
    </w:p>
    <w:p>
      <w:pPr>
        <w:spacing w:line="283" w:lineRule="auto"/>
        <w:ind w:firstLine="0"/>
        <w:jc w:val="center"/>
      </w:pPr>
      <w:r>
        <w:rPr>
          <w:rFonts w:ascii="Arial" w:hAnsi="Arial" w:eastAsia="Arial" w:cs="Arial"/>
          <w:b/>
          <w:sz w:val="24"/>
        </w:rPr>
        <w:t>посвящённого Дню города Алматы</w:t>
      </w:r>
    </w:p>
    <w:p>
      <w:pPr>
        <w:spacing w:line="283" w:lineRule="auto"/>
        <w:ind w:firstLine="0"/>
        <w:jc w:val="center"/>
      </w:pPr>
      <w:r>
        <w:rPr>
          <w:rFonts w:ascii="Arial" w:hAnsi="Arial" w:eastAsia="Arial" w:cs="Arial"/>
        </w:rPr>
        <w:t>г. Алматы, 2026 год</w:t>
      </w:r>
    </w:p>
    <w:p>
      <w:pPr>
        <w:pStyle w:val="Heading1"/>
        <w:spacing w:before="280" w:after="160"/>
        <w:ind w:firstLine="0"/>
      </w:pPr>
      <w:r>
        <w:rPr>
          <w:rFonts w:ascii="Arial" w:hAnsi="Arial" w:eastAsia="Arial" w:cs="Arial"/>
          <w:b/>
          <w:color w:val="2E74B5"/>
          <w:sz w:val="28"/>
        </w:rPr>
        <w:t>1. Цели и задачи</w:t>
      </w:r>
    </w:p>
    <w:p>
      <w:pPr>
        <w:pStyle w:val="ListBullet"/>
        <w:spacing w:after="100" w:line="283" w:lineRule="auto"/>
        <w:ind w:firstLine="0"/>
      </w:pPr>
      <w:r>
        <w:rPr>
          <w:rFonts w:ascii="Arial" w:hAnsi="Arial" w:eastAsia="Arial" w:cs="Arial"/>
        </w:rPr>
        <w:t>популяризация армрестлинга среди жителей города Алматы;</w:t>
      </w:r>
    </w:p>
    <w:p>
      <w:pPr>
        <w:pStyle w:val="ListBullet"/>
        <w:spacing w:after="100" w:line="283" w:lineRule="auto"/>
        <w:ind w:firstLine="0"/>
      </w:pPr>
      <w:r>
        <w:rPr>
          <w:rFonts w:ascii="Arial" w:hAnsi="Arial" w:eastAsia="Arial" w:cs="Arial"/>
        </w:rPr>
        <w:t>развитие массового спорта и продвижение здорового образа жизни;</w:t>
      </w:r>
    </w:p>
    <w:p>
      <w:pPr>
        <w:pStyle w:val="ListBullet"/>
        <w:spacing w:after="100" w:line="283" w:lineRule="auto"/>
        <w:ind w:firstLine="0"/>
      </w:pPr>
      <w:r>
        <w:rPr>
          <w:rFonts w:ascii="Arial" w:hAnsi="Arial" w:eastAsia="Arial" w:cs="Arial"/>
        </w:rPr>
        <w:t>привлечение молодёжи к регулярным занятиям физической культурой и спортом;</w:t>
      </w:r>
    </w:p>
    <w:p>
      <w:pPr>
        <w:pStyle w:val="ListBullet"/>
        <w:spacing w:after="100" w:line="283" w:lineRule="auto"/>
        <w:ind w:firstLine="0"/>
      </w:pPr>
      <w:r>
        <w:rPr>
          <w:rFonts w:ascii="Arial" w:hAnsi="Arial" w:eastAsia="Arial" w:cs="Arial"/>
        </w:rPr>
        <w:t>выявление сильнейших спортсменов в заявленных категориях;</w:t>
      </w:r>
    </w:p>
    <w:p>
      <w:pPr>
        <w:pStyle w:val="ListBullet"/>
        <w:spacing w:after="100" w:line="283" w:lineRule="auto"/>
        <w:ind w:firstLine="0"/>
      </w:pPr>
      <w:r>
        <w:rPr>
          <w:rFonts w:ascii="Arial" w:hAnsi="Arial" w:eastAsia="Arial" w:cs="Arial"/>
        </w:rPr>
        <w:t>повышение спортивного мастерства и приобретение соревновательного опыта;</w:t>
      </w:r>
    </w:p>
    <w:p>
      <w:pPr>
        <w:pStyle w:val="ListBullet"/>
        <w:spacing w:after="100" w:line="283" w:lineRule="auto"/>
        <w:ind w:firstLine="0"/>
      </w:pPr>
      <w:r>
        <w:rPr>
          <w:rFonts w:ascii="Arial" w:hAnsi="Arial" w:eastAsia="Arial" w:cs="Arial"/>
        </w:rPr>
        <w:t>проведение открытого городского турнира в рамках празднования Дня города Алматы;</w:t>
      </w:r>
    </w:p>
    <w:p>
      <w:pPr>
        <w:pStyle w:val="ListBullet"/>
        <w:spacing w:after="100" w:line="283" w:lineRule="auto"/>
        <w:ind w:firstLine="0"/>
      </w:pPr>
      <w:r>
        <w:rPr>
          <w:rFonts w:ascii="Arial" w:hAnsi="Arial" w:eastAsia="Arial" w:cs="Arial"/>
        </w:rPr>
        <w:t>укрепление спортивных связей и формирование сообщества армрестлинга.</w:t>
      </w:r>
    </w:p>
    <w:p>
      <w:pPr>
        <w:pStyle w:val="Heading1"/>
        <w:spacing w:before="280" w:after="160"/>
        <w:ind w:firstLine="0"/>
      </w:pPr>
      <w:r>
        <w:rPr>
          <w:rFonts w:ascii="Arial" w:hAnsi="Arial" w:eastAsia="Arial" w:cs="Arial"/>
          <w:b/>
          <w:color w:val="2E74B5"/>
          <w:sz w:val="28"/>
        </w:rPr>
        <w:t>2. Время и место проведения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CellMar>
          <w:top w:w="140" w:type="dxa"/>
          <w:start w:w="160" w:type="dxa"/>
          <w:bottom w:w="140" w:type="dxa"/>
          <w:end w:w="160" w:type="dxa"/>
        </w:tblCellMar>
      </w:tblPr>
      <w:tblGrid>
        <w:gridCol w:w="4680"/>
        <w:gridCol w:w="4680"/>
      </w:tblGrid>
      <w:tr>
        <w:tc>
          <w:tcPr>
            <w:tcW w:type="dxa" w:w="2608"/>
            <w:shd w:fill="F2F4F7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/>
                <w:sz w:val="21"/>
              </w:rPr>
              <w:t>Дата проведения</w:t>
            </w:r>
          </w:p>
        </w:tc>
        <w:tc>
          <w:tcPr>
            <w:tcW w:type="dxa" w:w="6803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19 и 20 сентября 2026 года</w:t>
            </w:r>
          </w:p>
        </w:tc>
      </w:tr>
      <w:tr>
        <w:tc>
          <w:tcPr>
            <w:tcW w:type="dxa" w:w="2608"/>
            <w:shd w:fill="F2F4F7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/>
                <w:sz w:val="21"/>
              </w:rPr>
              <w:t>Место проведения</w:t>
            </w:r>
          </w:p>
        </w:tc>
        <w:tc>
          <w:tcPr>
            <w:tcW w:type="dxa" w:w="6803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г. Алматы, площадь Астана, улица Төле би между проспектом Назарбаева и улицей Панфилова</w:t>
            </w:r>
          </w:p>
        </w:tc>
      </w:tr>
      <w:tr>
        <w:tc>
          <w:tcPr>
            <w:tcW w:type="dxa" w:w="2608"/>
            <w:shd w:fill="F2F4F7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/>
                <w:sz w:val="21"/>
              </w:rPr>
              <w:t>Начало соревнований</w:t>
            </w:r>
          </w:p>
        </w:tc>
        <w:tc>
          <w:tcPr>
            <w:tcW w:type="dxa" w:w="6803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11:00 ежедневно</w:t>
            </w:r>
          </w:p>
        </w:tc>
      </w:tr>
      <w:tr>
        <w:tc>
          <w:tcPr>
            <w:tcW w:type="dxa" w:w="2608"/>
            <w:shd w:fill="F2F4F7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/>
                <w:sz w:val="21"/>
              </w:rPr>
              <w:t>Регистрация и взвешивание</w:t>
            </w:r>
          </w:p>
        </w:tc>
        <w:tc>
          <w:tcPr>
            <w:tcW w:type="dxa" w:w="6803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В оба дня с 09:00 до 11:00</w:t>
            </w:r>
          </w:p>
        </w:tc>
      </w:tr>
    </w:tbl>
    <w:p>
      <w:pPr>
        <w:pStyle w:val="Heading1"/>
        <w:spacing w:before="200" w:after="160"/>
        <w:ind w:firstLine="0"/>
      </w:pPr>
      <w:r>
        <w:rPr>
          <w:rFonts w:ascii="Arial" w:hAnsi="Arial" w:eastAsia="Arial" w:cs="Arial"/>
          <w:b/>
          <w:color w:val="2E74B5"/>
          <w:sz w:val="28"/>
        </w:rPr>
        <w:t>3. Условия проведения соревнований</w:t>
      </w:r>
    </w:p>
    <w:p>
      <w:pPr>
        <w:spacing w:line="283" w:lineRule="auto" w:after="140"/>
        <w:ind w:firstLine="709"/>
        <w:jc w:val="both"/>
      </w:pPr>
      <w:r>
        <w:rPr>
          <w:rFonts w:ascii="Arial" w:hAnsi="Arial" w:eastAsia="Arial" w:cs="Arial"/>
          <w:b w:val="0"/>
        </w:rPr>
        <w:t>Соревнования по армрестлингу проводятся в личном зачёте по системе Double Elimination — до двух поражений. Спортсмен выступает в категории, определённой по результатам официального взвешивания.</w:t>
      </w:r>
    </w:p>
    <w:p>
      <w:pPr>
        <w:spacing w:line="283" w:lineRule="auto" w:after="140"/>
        <w:ind w:firstLine="709"/>
        <w:jc w:val="both"/>
      </w:pPr>
      <w:r>
        <w:rPr>
          <w:rFonts w:ascii="Arial" w:hAnsi="Arial" w:eastAsia="Arial" w:cs="Arial"/>
        </w:rPr>
        <w:t>Каждая категория проводится отдельно на левой и правой руке. Сначала полностью проводятся все категории на левой руке, затем все категории на правой руке.</w:t>
      </w:r>
    </w:p>
    <w:p>
      <w:pPr>
        <w:spacing w:line="283" w:lineRule="auto" w:after="140"/>
        <w:ind w:firstLine="709"/>
        <w:jc w:val="both"/>
      </w:pPr>
      <w:r>
        <w:rPr>
          <w:rFonts w:ascii="Arial" w:hAnsi="Arial" w:eastAsia="Arial" w:cs="Arial"/>
          <w:b w:val="0"/>
        </w:rPr>
        <w:t>Ежедневно проводится шесть отдельных зачётов. Результаты 19 и 20 сентября определяются отдельно и не суммируются. Спорные вопросы во время поединков разрешает главная судейская коллегия.</w:t>
      </w:r>
    </w:p>
    <w:p>
      <w:pPr>
        <w:pStyle w:val="Heading1"/>
        <w:spacing w:before="280" w:after="160"/>
        <w:ind w:firstLine="0"/>
      </w:pPr>
      <w:r>
        <w:rPr>
          <w:rFonts w:ascii="Arial" w:hAnsi="Arial" w:eastAsia="Arial" w:cs="Arial"/>
          <w:b/>
          <w:color w:val="2E74B5"/>
          <w:sz w:val="28"/>
        </w:rPr>
        <w:t>4. Весовые категории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CellMar>
          <w:top w:w="140" w:type="dxa"/>
          <w:start w:w="160" w:type="dxa"/>
          <w:bottom w:w="140" w:type="dxa"/>
          <w:end w:w="160" w:type="dxa"/>
        </w:tblCellMar>
      </w:tblPr>
      <w:tblGrid>
        <w:gridCol w:w="4680"/>
        <w:gridCol w:w="4680"/>
      </w:tblGrid>
      <w:tr>
        <w:tc>
          <w:tcPr>
            <w:tcW w:type="dxa" w:w="4680"/>
            <w:shd w:fill="F2F4F7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/>
                <w:sz w:val="21"/>
              </w:rPr>
              <w:t>Категория</w:t>
            </w:r>
          </w:p>
        </w:tc>
        <w:tc>
          <w:tcPr>
            <w:tcW w:type="dxa" w:w="4680"/>
            <w:shd w:fill="F2F4F7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/>
                <w:sz w:val="21"/>
              </w:rPr>
              <w:t>Весовая категория / рука</w:t>
            </w:r>
          </w:p>
        </w:tc>
      </w:tr>
      <w:tr>
        <w:tc>
          <w:tcPr>
            <w:tcW w:type="dxa" w:w="3685"/>
            <w:vAlign w:val="center"/>
          </w:tcPr>
          <w:p>
            <w:pPr>
              <w:spacing w:after="40"/>
              <w:ind w:firstLine="0"/>
            </w:pPr>
            <w:r>
              <w:rPr>
                <w:rFonts w:ascii="Arial" w:hAnsi="Arial" w:eastAsia="Arial" w:cs="Arial"/>
                <w:sz w:val="21"/>
              </w:rPr>
              <w:t>Мужчины, 2007 г.р. и старше</w:t>
            </w:r>
          </w:p>
        </w:tc>
        <w:tc>
          <w:tcPr>
            <w:tcW w:type="dxa" w:w="5726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до 80 кг — левая и правая рука отдельно</w:t>
            </w:r>
          </w:p>
        </w:tc>
      </w:tr>
      <w:tr>
        <w:tc>
          <w:tcPr>
            <w:tcW w:type="dxa" w:w="3685"/>
            <w:vAlign w:val="center"/>
          </w:tcPr>
          <w:p>
            <w:pPr>
              <w:spacing w:after="40"/>
              <w:ind w:firstLine="0"/>
            </w:pPr>
            <w:r>
              <w:rPr>
                <w:rFonts w:ascii="Arial" w:hAnsi="Arial" w:eastAsia="Arial" w:cs="Arial"/>
                <w:sz w:val="21"/>
              </w:rPr>
              <w:t>Мужчины, 2007 г.р. и старше</w:t>
            </w:r>
          </w:p>
        </w:tc>
        <w:tc>
          <w:tcPr>
            <w:tcW w:type="dxa" w:w="5726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свыше 80 кг — левая и правая рука отдельно</w:t>
            </w:r>
          </w:p>
        </w:tc>
      </w:tr>
      <w:tr>
        <w:tc>
          <w:tcPr>
            <w:tcW w:type="dxa" w:w="3685"/>
            <w:vAlign w:val="center"/>
          </w:tcPr>
          <w:p>
            <w:pPr>
              <w:spacing w:after="40"/>
              <w:ind w:firstLine="0"/>
            </w:pPr>
            <w:r>
              <w:rPr>
                <w:rFonts w:ascii="Arial" w:hAnsi="Arial" w:eastAsia="Arial" w:cs="Arial"/>
                <w:sz w:val="21"/>
              </w:rPr>
              <w:t>Юниоры, 2008 г.р. и младше</w:t>
            </w:r>
          </w:p>
        </w:tc>
        <w:tc>
          <w:tcPr>
            <w:tcW w:type="dxa" w:w="5726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абсолютная — левая и правая рука отдельно</w:t>
            </w:r>
          </w:p>
        </w:tc>
      </w:tr>
    </w:tbl>
    <w:p>
      <w:pPr>
        <w:pStyle w:val="Heading1"/>
        <w:spacing w:before="200" w:after="160"/>
        <w:ind w:firstLine="0"/>
      </w:pPr>
      <w:r>
        <w:rPr>
          <w:rFonts w:ascii="Arial" w:hAnsi="Arial" w:eastAsia="Arial" w:cs="Arial"/>
          <w:b/>
          <w:color w:val="2E74B5"/>
          <w:sz w:val="28"/>
        </w:rPr>
        <w:t>5. Регламент соревнований</w:t>
      </w:r>
    </w:p>
    <w:p>
      <w:pPr>
        <w:spacing w:line="283" w:lineRule="auto" w:after="140"/>
        <w:ind w:firstLine="709"/>
        <w:jc w:val="both"/>
      </w:pPr>
      <w:r>
        <w:rPr>
          <w:rFonts w:ascii="Arial" w:hAnsi="Arial" w:eastAsia="Arial" w:cs="Arial"/>
          <w:b w:val="0"/>
        </w:rPr>
        <w:t>Соревнования проводятся 19 и 20 сентября 2026 года. В оба дня действует одинаковая программа и проводятся все указанные весовые категории.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CellMar>
          <w:top w:w="140" w:type="dxa"/>
          <w:start w:w="160" w:type="dxa"/>
          <w:bottom w:w="140" w:type="dxa"/>
          <w:end w:w="160" w:type="dxa"/>
        </w:tblCellMar>
      </w:tblPr>
      <w:tblGrid>
        <w:gridCol w:w="4680"/>
        <w:gridCol w:w="4680"/>
      </w:tblGrid>
      <w:tr>
        <w:tc>
          <w:tcPr>
            <w:tcW w:type="dxa" w:w="2608"/>
            <w:shd w:fill="F2F4F7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/>
                <w:sz w:val="21"/>
              </w:rPr>
              <w:t>19 сентября</w:t>
            </w:r>
          </w:p>
        </w:tc>
        <w:tc>
          <w:tcPr>
            <w:tcW w:type="dxa" w:w="6803"/>
            <w:vAlign w:val="center"/>
          </w:tcPr>
          <w:p>
            <w:pPr>
              <w:spacing w:after="40"/>
              <w:ind w:firstLine="0"/>
            </w:pPr>
            <w:r>
              <w:rPr>
                <w:rFonts w:ascii="Arial" w:hAnsi="Arial" w:eastAsia="Arial" w:cs="Arial"/>
                <w:sz w:val="21"/>
              </w:rPr>
              <w:t>09:00–11:00 — регистрация и взвешивание; 11:00 — начало. Все категории: сначала левая рука, затем правая. Отдельное награждение по итогам дня.</w:t>
            </w:r>
          </w:p>
        </w:tc>
      </w:tr>
      <w:tr>
        <w:tc>
          <w:tcPr>
            <w:tcW w:type="dxa" w:w="2608"/>
            <w:shd w:fill="F2F4F7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/>
                <w:sz w:val="21"/>
              </w:rPr>
              <w:t>20 сентября</w:t>
            </w:r>
          </w:p>
        </w:tc>
        <w:tc>
          <w:tcPr>
            <w:tcW w:type="dxa" w:w="6803"/>
            <w:vAlign w:val="center"/>
          </w:tcPr>
          <w:p>
            <w:pPr>
              <w:spacing w:after="40"/>
              <w:ind w:firstLine="0"/>
            </w:pPr>
            <w:r>
              <w:rPr>
                <w:rFonts w:ascii="Arial" w:hAnsi="Arial" w:eastAsia="Arial" w:cs="Arial"/>
                <w:sz w:val="21"/>
              </w:rPr>
              <w:t>09:00–11:00 — регистрация и взвешивание; 11:00 — начало. Все категории: сначала левая рука, затем правая. Отдельное награждение по итогам дня.</w:t>
            </w:r>
          </w:p>
        </w:tc>
      </w:tr>
    </w:tbl>
    <w:p>
      <w:pPr>
        <w:spacing w:line="283" w:lineRule="auto" w:before="200" w:after="140"/>
        <w:ind w:firstLine="709"/>
        <w:jc w:val="both"/>
      </w:pPr>
      <w:r>
        <w:rPr>
          <w:rFonts w:ascii="Arial" w:hAnsi="Arial" w:eastAsia="Arial" w:cs="Arial"/>
          <w:b w:val="0"/>
        </w:rPr>
        <w:t>Ежедневно с 09:00 до 11:00 проводятся подтверждение регистрации и взвешивание. Начало соревнований — в 11:00. Сначала проводятся категории на левой руке, затем — на правой. Награждение проводится по итогам каждого дня.</w:t>
      </w:r>
    </w:p>
    <w:p>
      <w:pPr>
        <w:pStyle w:val="Heading1"/>
        <w:spacing w:before="280" w:after="160"/>
        <w:ind w:firstLine="0"/>
      </w:pPr>
      <w:r>
        <w:rPr>
          <w:rFonts w:ascii="Arial" w:hAnsi="Arial" w:eastAsia="Arial" w:cs="Arial"/>
          <w:b/>
          <w:color w:val="2E74B5"/>
          <w:sz w:val="28"/>
        </w:rPr>
        <w:t>6. Участники соревнований</w:t>
      </w:r>
    </w:p>
    <w:p>
      <w:pPr>
        <w:spacing w:line="283" w:lineRule="auto" w:after="140"/>
        <w:ind w:firstLine="709"/>
        <w:jc w:val="both"/>
      </w:pPr>
      <w:r>
        <w:rPr>
          <w:rFonts w:ascii="Arial" w:hAnsi="Arial" w:eastAsia="Arial" w:cs="Arial"/>
          <w:b w:val="0"/>
        </w:rPr>
        <w:t>К участию допускаются мужчины 2007 года рождения и старше, а также юниоры 2008 года рождения и младше. Возраст юниоров определяется по календарному году рождения. Женские категории не проводятся.</w:t>
      </w:r>
    </w:p>
    <w:p>
      <w:pPr>
        <w:spacing w:line="283" w:lineRule="auto" w:after="140"/>
        <w:ind w:firstLine="709"/>
        <w:jc w:val="both"/>
      </w:pPr>
      <w:r>
        <w:rPr>
          <w:rFonts w:ascii="Arial" w:hAnsi="Arial" w:eastAsia="Arial" w:cs="Arial"/>
          <w:b w:val="0"/>
        </w:rPr>
        <w:t>Участники не должны иметь медицинских противопоказаний к занятиям армрестлингом. Требования к согласию законного представителя и документам несовершеннолетних организатор объявляет дополнительно.</w:t>
      </w:r>
    </w:p>
    <w:p>
      <w:pPr>
        <w:pStyle w:val="Heading1"/>
        <w:spacing w:before="280" w:after="160"/>
        <w:ind w:firstLine="0"/>
      </w:pPr>
      <w:r>
        <w:rPr>
          <w:rFonts w:ascii="Arial" w:hAnsi="Arial" w:eastAsia="Arial" w:cs="Arial"/>
          <w:b/>
          <w:color w:val="2E74B5"/>
          <w:sz w:val="28"/>
        </w:rPr>
        <w:t>7. Расходы</w:t>
      </w:r>
    </w:p>
    <w:p>
      <w:pPr>
        <w:spacing w:line="283" w:lineRule="auto" w:after="140"/>
        <w:ind w:firstLine="709"/>
        <w:jc w:val="both"/>
      </w:pPr>
      <w:r>
        <w:rPr>
          <w:rFonts w:ascii="Arial" w:hAnsi="Arial" w:eastAsia="Arial" w:cs="Arial"/>
          <w:b w:val="0"/>
        </w:rPr>
        <w:t>Участие в соревнованиях бесплатное. Порядок покрытия расходов на проезд, питание и иные расходы участников, а также расходов по организации соревнований определяется организатором дополнительно.</w:t>
      </w:r>
    </w:p>
    <w:p>
      <w:pPr>
        <w:pStyle w:val="Heading1"/>
        <w:spacing w:before="280" w:after="160"/>
        <w:ind w:firstLine="0"/>
      </w:pPr>
      <w:r>
        <w:rPr>
          <w:rFonts w:ascii="Arial" w:hAnsi="Arial" w:eastAsia="Arial" w:cs="Arial"/>
          <w:b/>
          <w:color w:val="2E74B5"/>
          <w:sz w:val="28"/>
        </w:rPr>
        <w:t>8. Награждение</w:t>
      </w:r>
    </w:p>
    <w:p>
      <w:pPr>
        <w:spacing w:line="283" w:lineRule="auto" w:after="140"/>
        <w:ind w:firstLine="709"/>
        <w:jc w:val="both"/>
      </w:pPr>
      <w:r>
        <w:rPr>
          <w:rFonts w:ascii="Arial" w:hAnsi="Arial" w:eastAsia="Arial" w:cs="Arial"/>
          <w:b w:val="0"/>
        </w:rPr>
        <w:t>Спортсмены, занявшие 1-е, 2-е и 3-е места в каждом зачёте, награждаются медалями и грамотами отдельно за каждый день. Ежедневно предусмотрено 6 комплектов наград — 18 медалей и 18 грамот. Всего за два дня — 12 комплектов наград, 36 медалей и 36 грамот.</w:t>
      </w:r>
    </w:p>
    <w:p>
      <w:pPr>
        <w:pStyle w:val="Heading1"/>
        <w:spacing w:before="280" w:after="160"/>
        <w:ind w:firstLine="0"/>
      </w:pPr>
      <w:r>
        <w:rPr>
          <w:rFonts w:ascii="Arial" w:hAnsi="Arial" w:eastAsia="Arial" w:cs="Arial"/>
          <w:b/>
          <w:color w:val="2E74B5"/>
          <w:sz w:val="28"/>
        </w:rPr>
        <w:t>9. Заявки на участие</w:t>
      </w:r>
    </w:p>
    <w:p>
      <w:pPr>
        <w:spacing w:line="283" w:lineRule="auto" w:after="140"/>
        <w:ind w:firstLine="709"/>
        <w:jc w:val="both"/>
      </w:pPr>
      <w:r>
        <w:rPr>
          <w:rFonts w:ascii="Arial" w:hAnsi="Arial" w:eastAsia="Arial" w:cs="Arial"/>
          <w:b w:val="0"/>
        </w:rPr>
        <w:t>Предварительная онлайн-регистрация проводится на ARMSPORT.app. Для допуска спортсмен обязан подтвердить участие и пройти взвешивание на площадке в день выступления с 09:00 до 11:00. Каждый участник несёт ответственность за достоверность указанных при регистрации сведений.</w:t>
      </w:r>
    </w:p>
    <w:p>
      <w:pPr>
        <w:pStyle w:val="Heading1"/>
        <w:spacing w:before="280" w:after="160"/>
        <w:ind w:firstLine="0"/>
      </w:pPr>
      <w:r>
        <w:rPr>
          <w:rFonts w:ascii="Arial" w:hAnsi="Arial" w:eastAsia="Arial" w:cs="Arial"/>
          <w:b/>
          <w:color w:val="2E74B5"/>
          <w:sz w:val="28"/>
        </w:rPr>
        <w:t>10. Контакты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CellMar>
          <w:top w:w="140" w:type="dxa"/>
          <w:start w:w="160" w:type="dxa"/>
          <w:bottom w:w="140" w:type="dxa"/>
          <w:end w:w="160" w:type="dxa"/>
        </w:tblCellMar>
      </w:tblPr>
      <w:tblGrid>
        <w:gridCol w:w="4680"/>
        <w:gridCol w:w="4680"/>
      </w:tblGrid>
      <w:tr>
        <w:tc>
          <w:tcPr>
            <w:tcW w:type="dxa" w:w="2608"/>
            <w:shd w:fill="F2F4F7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/>
                <w:sz w:val="21"/>
              </w:rPr>
              <w:t>Ответственное лицо</w:t>
            </w:r>
          </w:p>
        </w:tc>
        <w:tc>
          <w:tcPr>
            <w:tcW w:type="dxa" w:w="6803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Баранов Валерий Владимирович</w:t>
            </w:r>
          </w:p>
        </w:tc>
      </w:tr>
      <w:tr>
        <w:tc>
          <w:tcPr>
            <w:tcW w:type="dxa" w:w="2608"/>
            <w:shd w:fill="F2F4F7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/>
                <w:sz w:val="21"/>
              </w:rPr>
              <w:t>Телефон</w:t>
            </w:r>
          </w:p>
        </w:tc>
        <w:tc>
          <w:tcPr>
            <w:tcW w:type="dxa" w:w="6803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+7 705 999 27 11</w:t>
            </w:r>
          </w:p>
        </w:tc>
      </w:tr>
      <w:tr>
        <w:tc>
          <w:tcPr>
            <w:tcW w:type="dxa" w:w="2608"/>
            <w:shd w:fill="F2F4F7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/>
                <w:sz w:val="21"/>
              </w:rPr>
              <w:t>Электронная почта</w:t>
            </w:r>
          </w:p>
        </w:tc>
        <w:tc>
          <w:tcPr>
            <w:tcW w:type="dxa" w:w="6803"/>
            <w:vAlign w:val="center"/>
          </w:tcPr>
          <w:p>
            <w:pPr>
              <w:spacing w:after="40" w:before="0" w:line="269" w:lineRule="auto"/>
              <w:ind w:firstLine="0"/>
            </w:pPr>
            <w:r>
              <w:rPr>
                <w:rFonts w:ascii="Arial" w:hAnsi="Arial" w:eastAsia="Arial" w:cs="Arial"/>
                <w:b w:val="0"/>
                <w:sz w:val="21"/>
              </w:rPr>
              <w:t>viptuk@mail.ru</w:t>
            </w:r>
          </w:p>
        </w:tc>
      </w:tr>
      <w:tr>
        <w:tc>
          <w:tcPr>
            <w:tcW w:type="dxa" w:w="4680"/>
            <w:vAlign w:val="center"/>
          </w:tcPr>
          <w:p>
            <w:pPr>
              <w:spacing w:before="0" w:after="40" w:line="269" w:lineRule="auto"/>
              <w:ind w:firstLine="0"/>
            </w:pPr>
            <w:r>
              <w:rPr>
                <w:rFonts w:ascii="Arial" w:hAnsi="Arial" w:eastAsia="Arial" w:cs="Arial"/>
                <w:sz w:val="21"/>
              </w:rPr>
              <w:t>Организатор</w:t>
            </w:r>
          </w:p>
        </w:tc>
        <w:tc>
          <w:tcPr>
            <w:tcW w:type="dxa" w:w="4680"/>
            <w:vAlign w:val="center"/>
          </w:tcPr>
          <w:p>
            <w:pPr>
              <w:spacing w:before="0" w:after="40" w:line="269" w:lineRule="auto"/>
              <w:ind w:firstLine="0"/>
            </w:pPr>
            <w:r>
              <w:rPr>
                <w:rFonts w:ascii="Arial" w:hAnsi="Arial" w:eastAsia="Arial" w:cs="Arial"/>
                <w:sz w:val="21"/>
              </w:rPr>
              <w:t>Акимат города Алматы</w:t>
            </w:r>
          </w:p>
        </w:tc>
      </w:tr>
    </w:tbl>
    <w:p>
      <w:pPr>
        <w:spacing w:before="200" w:after="240" w:line="283" w:lineRule="auto"/>
        <w:ind w:firstLine="0"/>
      </w:pPr>
      <w:r>
        <w:rPr>
          <w:rFonts w:ascii="Arial" w:hAnsi="Arial" w:eastAsia="Arial" w:cs="Arial"/>
        </w:rPr>
      </w:r>
    </w:p>
    <w:p>
      <w:pPr>
        <w:spacing w:after="240" w:line="283" w:lineRule="auto"/>
        <w:ind w:firstLine="0"/>
        <w:jc w:val="left"/>
      </w:pPr>
      <w:r>
        <w:rPr>
          <w:rFonts w:ascii="Arial" w:hAnsi="Arial" w:eastAsia="Arial" w:cs="Arial"/>
          <w:b/>
        </w:rPr>
        <w:t>Организатор: Акимат города Алматы</w:t>
      </w:r>
    </w:p>
    <w:p>
      <w:pPr>
        <w:spacing w:after="360" w:line="283" w:lineRule="auto"/>
        <w:ind w:firstLine="0"/>
        <w:jc w:val="left"/>
      </w:pPr>
      <w:r>
        <w:rPr>
          <w:rFonts w:ascii="Arial" w:hAnsi="Arial" w:eastAsia="Arial" w:cs="Arial"/>
        </w:rPr>
        <w:t>__________________________ /__________________________/</w:t>
      </w:r>
    </w:p>
    <w:p>
      <w:pPr>
        <w:spacing w:line="283" w:lineRule="auto"/>
        <w:ind w:firstLine="0"/>
        <w:jc w:val="left"/>
      </w:pPr>
      <w:r>
        <w:rPr>
          <w:rFonts w:ascii="Arial" w:hAnsi="Arial" w:eastAsia="Arial" w:cs="Arial"/>
        </w:rPr>
        <w:t>М.П.</w:t>
      </w:r>
    </w:p>
    <w:sectPr w:rsidR="00FC693F" w:rsidRPr="0006063C" w:rsidSect="00034616">
      <w:pgSz w:w="12240" w:h="15840"/>
      <w:pgMar w:top="1440" w:right="1440" w:bottom="1440" w:left="144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3" w:lineRule="auto"/>
      <w:ind w:firstLine="709"/>
    </w:pPr>
    <w:rPr>
      <w:rFonts w:ascii="Arial" w:hAnsi="Arial" w:eastAsia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  <w:jc w:val="center"/>
    </w:pPr>
    <w:rPr>
      <w:rFonts w:asciiTheme="majorHAnsi" w:eastAsiaTheme="majorEastAsia" w:hAnsiTheme="majorHAnsi" w:cstheme="majorBidi" w:ascii="Arial" w:hAnsi="Arial" w:eastAsia="Arial" w:cs="Arial"/>
      <w:b/>
      <w:color w:val="0B2545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76" w:lineRule="auto"/>
      <w:ind w:left="720" w:hanging="357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76" w:lineRule="auto"/>
      <w:ind w:left="720" w:hanging="357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— Открытый турнир по армрестлингу ко Дню города Алматы 2026</dc:title>
  <dc:subject>Положение соревнования</dc:subject>
  <dc:creator>ARMSPORT.app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